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25 13 vom 14. Mai 2025</w:t>
      </w:r>
    </w:p>
    <w:p>
      <w:r>
        <w:t>BL Gerichte, 2025-05-14, DE</w:t>
      </w:r>
    </w:p>
    <w:p>
      <w:r>
        <w:rPr>
          <w:b/>
        </w:rPr>
        <w:t xml:space="preserve">Quelle: </w:t>
      </w:r>
      <w:r>
        <w:t>https://mcp.opencaselaw.ch/entscheid/bl_gerichte_810 25 13</w:t>
      </w:r>
    </w:p>
    <w:p>
      <w:r>
        <w:t>FR: BL_GERICHTE 810 25 13 du 14 mai 2025</w:t>
      </w:r>
    </w:p>
    <w:p>
      <w:r>
        <w:t>IT: BL_GERICHTE 810 25 13 del 14 maggio 2025</w:t>
      </w:r>
    </w:p>
    <w:p>
      <w:pPr>
        <w:pStyle w:val="Heading2"/>
      </w:pPr>
      <w:r>
        <w:t>Regeste</w:t>
      </w:r>
    </w:p>
    <w:p>
      <w:r>
        <w:t>Widerruf der Aufenthaltsbewilligung und Wegweisung aus der Schweiz / Dauer der ehelichen Gemeinschaft / nachehelicher Härtefall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1'500.-- werden der Beschwerdeführerin auferlegt und mit dem geleisteten Kostenvorschuss in gleicher Höhe verrechnet.</w:t>
      </w:r>
    </w:p>
    <w:p>
      <w:r>
        <w:rPr>
          <w:b/>
        </w:rPr>
        <w:t>E. 3</w:t>
      </w:r>
    </w:p>
    <w:p>
      <w:r>
        <w:t>Die Parteikosten werden wettgeschlagen. Präsident Gerichtsschreiberin i.V.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